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015286AC"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r w:rsidR="00476255" w:rsidRPr="00EF0427">
        <w:rPr>
          <w:rFonts w:eastAsiaTheme="minorEastAsia" w:cs="Arial"/>
          <w:bCs/>
          <w:noProof w:val="0"/>
          <w:color w:val="000000" w:themeColor="text1"/>
          <w:sz w:val="22"/>
          <w:szCs w:val="22"/>
          <w:lang w:eastAsia="zh-CN"/>
        </w:rPr>
        <w:t>10</w:t>
      </w:r>
      <w:bookmarkEnd w:id="0"/>
      <w:r w:rsidR="006E6660">
        <w:rPr>
          <w:rFonts w:eastAsiaTheme="minorEastAsia" w:cs="Arial"/>
          <w:bCs/>
          <w:noProof w:val="0"/>
          <w:color w:val="000000" w:themeColor="text1"/>
          <w:sz w:val="22"/>
          <w:szCs w:val="22"/>
          <w:lang w:eastAsia="zh-CN"/>
        </w:rPr>
        <w:t>8</w:t>
      </w:r>
      <w:r w:rsidR="00875F9D" w:rsidRPr="00EF0427">
        <w:rPr>
          <w:rFonts w:eastAsiaTheme="minorEastAsia" w:cs="Arial"/>
          <w:bCs/>
          <w:noProof w:val="0"/>
          <w:color w:val="000000" w:themeColor="text1"/>
          <w:sz w:val="22"/>
          <w:szCs w:val="22"/>
          <w:lang w:eastAsia="zh-CN"/>
        </w:rPr>
        <w:t xml:space="preserv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796B09" w:rsidRPr="00796B09">
        <w:rPr>
          <w:rFonts w:eastAsiaTheme="minorEastAsia" w:cs="Arial"/>
          <w:bCs/>
          <w:noProof w:val="0"/>
          <w:color w:val="000000" w:themeColor="text1"/>
          <w:sz w:val="22"/>
          <w:szCs w:val="22"/>
          <w:lang w:val="en-GB" w:eastAsia="zh-CN"/>
        </w:rPr>
        <w:t>2313062</w:t>
      </w:r>
    </w:p>
    <w:p w14:paraId="6A25EC1C" w14:textId="7F50B2A9" w:rsidR="00E07AF8" w:rsidRPr="006B21ED" w:rsidRDefault="006E6660" w:rsidP="00E07AF8">
      <w:pPr>
        <w:pStyle w:val="Header"/>
        <w:tabs>
          <w:tab w:val="right" w:pos="9639"/>
          <w:tab w:val="right" w:pos="13323"/>
        </w:tabs>
        <w:jc w:val="both"/>
        <w:rPr>
          <w:rFonts w:eastAsiaTheme="minorEastAsia" w:cs="Arial"/>
          <w:bCs/>
          <w:noProof w:val="0"/>
          <w:sz w:val="22"/>
          <w:szCs w:val="22"/>
          <w:lang w:eastAsia="zh-CN"/>
        </w:rPr>
      </w:pPr>
      <w:bookmarkStart w:id="2" w:name="_Hlk142642216"/>
      <w:bookmarkStart w:id="3" w:name="_Hlk134889839"/>
      <w:r w:rsidRPr="00783124">
        <w:rPr>
          <w:rFonts w:eastAsiaTheme="minorEastAsia" w:cs="Arial"/>
          <w:bCs/>
          <w:noProof w:val="0"/>
          <w:sz w:val="22"/>
          <w:szCs w:val="22"/>
          <w:lang w:eastAsia="zh-CN"/>
        </w:rPr>
        <w:t>Toulouse, France meeting, August 21</w:t>
      </w:r>
      <w:r w:rsidRPr="00783124">
        <w:rPr>
          <w:rFonts w:eastAsiaTheme="minorEastAsia" w:cs="Arial"/>
          <w:bCs/>
          <w:noProof w:val="0"/>
          <w:sz w:val="22"/>
          <w:szCs w:val="22"/>
          <w:vertAlign w:val="superscript"/>
          <w:lang w:eastAsia="zh-CN"/>
        </w:rPr>
        <w:t xml:space="preserve">st </w:t>
      </w:r>
      <w:r w:rsidRPr="00783124">
        <w:rPr>
          <w:rFonts w:eastAsiaTheme="minorEastAsia" w:cs="Arial"/>
          <w:bCs/>
          <w:noProof w:val="0"/>
          <w:sz w:val="22"/>
          <w:szCs w:val="22"/>
          <w:lang w:eastAsia="zh-CN"/>
        </w:rPr>
        <w:t>– 25</w:t>
      </w:r>
      <w:r w:rsidRPr="00783124">
        <w:rPr>
          <w:rFonts w:eastAsiaTheme="minorEastAsia" w:cs="Arial"/>
          <w:bCs/>
          <w:noProof w:val="0"/>
          <w:sz w:val="22"/>
          <w:szCs w:val="22"/>
          <w:vertAlign w:val="superscript"/>
          <w:lang w:eastAsia="zh-CN"/>
        </w:rPr>
        <w:t>th</w:t>
      </w:r>
      <w:bookmarkEnd w:id="2"/>
      <w:r w:rsidR="00B55690" w:rsidRPr="00C12B3F">
        <w:rPr>
          <w:rFonts w:eastAsiaTheme="minorEastAsia" w:cs="Arial"/>
          <w:bCs/>
          <w:noProof w:val="0"/>
          <w:sz w:val="22"/>
          <w:szCs w:val="22"/>
          <w:lang w:eastAsia="zh-CN"/>
        </w:rPr>
        <w:t>,</w:t>
      </w:r>
      <w:r w:rsidR="00B55690" w:rsidRPr="001C6FE9">
        <w:rPr>
          <w:rFonts w:eastAsiaTheme="minorEastAsia" w:cs="Arial"/>
          <w:bCs/>
          <w:noProof w:val="0"/>
          <w:color w:val="000000" w:themeColor="text1"/>
          <w:sz w:val="22"/>
          <w:szCs w:val="22"/>
          <w:lang w:eastAsia="zh-CN"/>
        </w:rPr>
        <w:t xml:space="preserve"> </w:t>
      </w:r>
      <w:r w:rsidR="00B55690" w:rsidRPr="006B21ED">
        <w:rPr>
          <w:rFonts w:eastAsiaTheme="minorEastAsia" w:cs="Arial"/>
          <w:bCs/>
          <w:noProof w:val="0"/>
          <w:sz w:val="22"/>
          <w:szCs w:val="22"/>
          <w:lang w:eastAsia="zh-CN"/>
        </w:rPr>
        <w:t>202</w:t>
      </w:r>
      <w:r w:rsidR="00B55690">
        <w:rPr>
          <w:rFonts w:eastAsiaTheme="minorEastAsia" w:cs="Arial"/>
          <w:bCs/>
          <w:noProof w:val="0"/>
          <w:sz w:val="22"/>
          <w:szCs w:val="22"/>
          <w:lang w:eastAsia="zh-CN"/>
        </w:rPr>
        <w:t>3</w:t>
      </w:r>
      <w:bookmarkEnd w:id="3"/>
    </w:p>
    <w:bookmarkEnd w:id="1"/>
    <w:p w14:paraId="4BDFE11D" w14:textId="378CC0E2"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Pr="007B120C">
        <w:rPr>
          <w:rFonts w:eastAsiaTheme="minorEastAsia" w:cs="Arial"/>
          <w:bCs/>
          <w:noProof w:val="0"/>
          <w:sz w:val="22"/>
          <w:szCs w:val="22"/>
          <w:lang w:eastAsia="zh-CN"/>
        </w:rPr>
        <w:t>:</w:t>
      </w:r>
      <w:r w:rsidR="00743D3D" w:rsidRPr="007B120C">
        <w:rPr>
          <w:rFonts w:eastAsiaTheme="minorEastAsia" w:cs="Arial"/>
          <w:bCs/>
          <w:noProof w:val="0"/>
          <w:sz w:val="22"/>
          <w:szCs w:val="22"/>
          <w:lang w:eastAsia="zh-CN"/>
        </w:rPr>
        <w:t xml:space="preserve"> </w:t>
      </w:r>
      <w:r w:rsidR="00C84070">
        <w:rPr>
          <w:rFonts w:eastAsiaTheme="minorEastAsia" w:cs="Arial"/>
          <w:bCs/>
          <w:noProof w:val="0"/>
          <w:sz w:val="22"/>
          <w:szCs w:val="22"/>
          <w:lang w:val="en-GB" w:eastAsia="zh-CN"/>
        </w:rPr>
        <w:t>5.2.3</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1D075F8B"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proofErr w:type="spellStart"/>
      <w:r w:rsidR="005F7C2F" w:rsidRPr="005F7C2F">
        <w:rPr>
          <w:rFonts w:eastAsiaTheme="minorEastAsia" w:cs="Arial"/>
          <w:bCs/>
          <w:noProof w:val="0"/>
          <w:sz w:val="22"/>
          <w:szCs w:val="22"/>
          <w:lang w:eastAsia="zh-CN"/>
        </w:rPr>
        <w:t>NR_redcap</w:t>
      </w:r>
      <w:proofErr w:type="spellEnd"/>
      <w:r w:rsidR="005F7C2F" w:rsidRPr="005F7C2F">
        <w:rPr>
          <w:rFonts w:eastAsiaTheme="minorEastAsia" w:cs="Arial"/>
          <w:bCs/>
          <w:noProof w:val="0"/>
          <w:sz w:val="22"/>
          <w:szCs w:val="22"/>
          <w:lang w:eastAsia="zh-CN"/>
        </w:rPr>
        <w:t>-Core Discussion on Stationary requirements</w:t>
      </w:r>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4" w:name="_Ref118271349"/>
      <w:r w:rsidR="00EE7FA7" w:rsidRPr="006B21ED">
        <w:rPr>
          <w:rFonts w:ascii="Arial" w:hAnsi="Arial" w:cs="Arial"/>
        </w:rPr>
        <w:t>Introduction</w:t>
      </w:r>
      <w:bookmarkEnd w:id="4"/>
    </w:p>
    <w:p w14:paraId="03BA4E83" w14:textId="65D226D8" w:rsidR="00F142FB" w:rsidRDefault="00DF4C1A" w:rsidP="00BC73EE">
      <w:pPr>
        <w:jc w:val="both"/>
      </w:pPr>
      <w:r>
        <w:t xml:space="preserve">For Rel-17 </w:t>
      </w:r>
      <w:proofErr w:type="spellStart"/>
      <w:r>
        <w:t>RedCap</w:t>
      </w:r>
      <w:proofErr w:type="spellEnd"/>
      <w:r>
        <w:t xml:space="preserve"> WI, i</w:t>
      </w:r>
      <w:r w:rsidR="00F142FB">
        <w:t xml:space="preserve">n RAN4#102-e meeting, RAN4 has reached the following agreement </w:t>
      </w:r>
      <w:r w:rsidR="00B519A1">
        <w:fldChar w:fldCharType="begin"/>
      </w:r>
      <w:r w:rsidR="00B519A1">
        <w:instrText xml:space="preserve"> REF _Ref115358872 \r \h </w:instrText>
      </w:r>
      <w:r w:rsidR="00B519A1">
        <w:fldChar w:fldCharType="separate"/>
      </w:r>
      <w:r w:rsidR="003D4DDF">
        <w:t>[1]</w:t>
      </w:r>
      <w:r w:rsidR="00B519A1">
        <w:fldChar w:fldCharType="end"/>
      </w:r>
      <w:r w:rsidR="00F142FB">
        <w:t>:</w:t>
      </w:r>
    </w:p>
    <w:tbl>
      <w:tblPr>
        <w:tblStyle w:val="TableGrid"/>
        <w:tblW w:w="0" w:type="auto"/>
        <w:tblLook w:val="04A0" w:firstRow="1" w:lastRow="0" w:firstColumn="1" w:lastColumn="0" w:noHBand="0" w:noVBand="1"/>
      </w:tblPr>
      <w:tblGrid>
        <w:gridCol w:w="9629"/>
      </w:tblGrid>
      <w:tr w:rsidR="00F142FB" w14:paraId="27C984A8" w14:textId="77777777" w:rsidTr="00F142FB">
        <w:tc>
          <w:tcPr>
            <w:tcW w:w="9629" w:type="dxa"/>
          </w:tcPr>
          <w:p w14:paraId="47F89DC6" w14:textId="786CDDF0" w:rsidR="00F142FB" w:rsidRDefault="00F142FB" w:rsidP="00BC73EE">
            <w:pPr>
              <w:jc w:val="both"/>
            </w:pPr>
            <w:r w:rsidRPr="005250AC">
              <w:rPr>
                <w:color w:val="0070C0"/>
              </w:rPr>
              <w:t>GTW agreement: UE is allowed to meet the requirements that are the most relaxed out of Rel-16 and Rel-17 requirements.</w:t>
            </w:r>
          </w:p>
        </w:tc>
      </w:tr>
    </w:tbl>
    <w:p w14:paraId="6F29873F" w14:textId="10583E79" w:rsidR="00F142FB" w:rsidRDefault="00F142FB" w:rsidP="00BC73EE">
      <w:pPr>
        <w:jc w:val="both"/>
      </w:pPr>
    </w:p>
    <w:p w14:paraId="24616EEB" w14:textId="26844C9A" w:rsidR="00F142FB" w:rsidRDefault="00F142FB" w:rsidP="00BC73EE">
      <w:pPr>
        <w:jc w:val="both"/>
      </w:pPr>
      <w:r>
        <w:t xml:space="preserve">Then, RAN4 further discussed this issue specifically for the requirements of multiple relaxation of </w:t>
      </w:r>
      <w:r w:rsidRPr="00F142FB">
        <w:t>Rel-16 low mobility and not-at-cell-edge criteria, and Rel-17 stationary criteria</w:t>
      </w:r>
      <w:r>
        <w:t xml:space="preserve"> and the following agreement was reached</w:t>
      </w:r>
      <w:r w:rsidR="00B519A1">
        <w:t xml:space="preserve"> </w:t>
      </w:r>
      <w:r w:rsidR="00B519A1">
        <w:fldChar w:fldCharType="begin"/>
      </w:r>
      <w:r w:rsidR="00B519A1">
        <w:instrText xml:space="preserve"> REF _Ref118284665 \r \h </w:instrText>
      </w:r>
      <w:r w:rsidR="00B519A1">
        <w:fldChar w:fldCharType="separate"/>
      </w:r>
      <w:r w:rsidR="003D4DDF">
        <w:t>[2]</w:t>
      </w:r>
      <w:r w:rsidR="00B519A1">
        <w:fldChar w:fldCharType="end"/>
      </w:r>
      <w:r>
        <w:t>:</w:t>
      </w:r>
    </w:p>
    <w:tbl>
      <w:tblPr>
        <w:tblStyle w:val="TableGrid"/>
        <w:tblW w:w="0" w:type="auto"/>
        <w:tblLook w:val="04A0" w:firstRow="1" w:lastRow="0" w:firstColumn="1" w:lastColumn="0" w:noHBand="0" w:noVBand="1"/>
      </w:tblPr>
      <w:tblGrid>
        <w:gridCol w:w="9629"/>
      </w:tblGrid>
      <w:tr w:rsidR="00F142FB" w14:paraId="30CBE321" w14:textId="77777777" w:rsidTr="00F142FB">
        <w:tc>
          <w:tcPr>
            <w:tcW w:w="9629" w:type="dxa"/>
          </w:tcPr>
          <w:p w14:paraId="35FF988C" w14:textId="77777777" w:rsidR="00F142FB" w:rsidRPr="005250AC" w:rsidRDefault="00F142FB" w:rsidP="00F142FB">
            <w:pPr>
              <w:rPr>
                <w:b/>
                <w:color w:val="0070C0"/>
                <w:u w:val="single"/>
                <w:lang w:eastAsia="ko-KR"/>
              </w:rPr>
            </w:pPr>
            <w:r w:rsidRPr="005250AC">
              <w:rPr>
                <w:b/>
                <w:color w:val="0070C0"/>
                <w:u w:val="single"/>
                <w:lang w:eastAsia="ko-KR"/>
              </w:rPr>
              <w:t xml:space="preserve">Issue 2-1-1-1:  Requirements for scenario 9 if scenario 9 is allowed </w:t>
            </w:r>
          </w:p>
          <w:p w14:paraId="298BFC11" w14:textId="77777777" w:rsidR="00F142FB" w:rsidRPr="005250AC" w:rsidRDefault="00F142FB" w:rsidP="00F142FB">
            <w:pPr>
              <w:pStyle w:val="ListParagraph"/>
              <w:numPr>
                <w:ilvl w:val="0"/>
                <w:numId w:val="9"/>
              </w:numPr>
              <w:spacing w:after="120" w:line="240" w:lineRule="auto"/>
              <w:contextualSpacing w:val="0"/>
              <w:rPr>
                <w:rFonts w:eastAsia="SimSun"/>
                <w:color w:val="0070C0"/>
                <w:szCs w:val="24"/>
              </w:rPr>
            </w:pPr>
            <w:r w:rsidRPr="005250AC">
              <w:rPr>
                <w:rFonts w:eastAsia="SimSun"/>
                <w:color w:val="0070C0"/>
                <w:szCs w:val="24"/>
              </w:rPr>
              <w:t>Proposals</w:t>
            </w:r>
          </w:p>
          <w:p w14:paraId="7A51DD68" w14:textId="77777777" w:rsidR="00F142FB" w:rsidRPr="005250AC" w:rsidRDefault="00F142FB" w:rsidP="00F142FB">
            <w:pPr>
              <w:pStyle w:val="ListParagraph"/>
              <w:numPr>
                <w:ilvl w:val="1"/>
                <w:numId w:val="9"/>
              </w:numPr>
              <w:spacing w:after="120" w:line="240" w:lineRule="auto"/>
              <w:contextualSpacing w:val="0"/>
              <w:jc w:val="both"/>
              <w:rPr>
                <w:rFonts w:eastAsia="SimSun"/>
                <w:color w:val="0070C0"/>
                <w:szCs w:val="24"/>
              </w:rPr>
            </w:pPr>
            <w:r w:rsidRPr="005250AC">
              <w:rPr>
                <w:rFonts w:eastAsia="SimSun"/>
                <w:color w:val="0070C0"/>
                <w:szCs w:val="24"/>
              </w:rPr>
              <w:t>Option 1: UE follows the most relaxed requirements between Rel-16 low mobility and not-at-cell-edge criteria, and Rel-17 stationary criteria (vivo Ericsson)</w:t>
            </w:r>
          </w:p>
          <w:p w14:paraId="36247C93" w14:textId="2E3D240E" w:rsidR="00F142FB" w:rsidRPr="00F142FB" w:rsidRDefault="00F142FB" w:rsidP="00F142FB">
            <w:pPr>
              <w:spacing w:after="120"/>
              <w:rPr>
                <w:color w:val="0070C0"/>
                <w:szCs w:val="24"/>
              </w:rPr>
            </w:pPr>
            <w:r w:rsidRPr="005250AC">
              <w:rPr>
                <w:color w:val="0070C0"/>
                <w:szCs w:val="24"/>
              </w:rPr>
              <w:t>Agreement (1</w:t>
            </w:r>
            <w:r w:rsidRPr="005250AC">
              <w:rPr>
                <w:color w:val="0070C0"/>
                <w:szCs w:val="24"/>
                <w:vertAlign w:val="superscript"/>
              </w:rPr>
              <w:t>st</w:t>
            </w:r>
            <w:r w:rsidRPr="005250AC">
              <w:rPr>
                <w:color w:val="0070C0"/>
                <w:szCs w:val="24"/>
              </w:rPr>
              <w:t xml:space="preserve"> round): Option 1 is agreed</w:t>
            </w:r>
          </w:p>
        </w:tc>
      </w:tr>
    </w:tbl>
    <w:p w14:paraId="189CBA26" w14:textId="1D62B795" w:rsidR="002A7349" w:rsidRPr="00BC73EE" w:rsidRDefault="00081243" w:rsidP="00BC73EE">
      <w:pPr>
        <w:jc w:val="both"/>
      </w:pPr>
      <w:r w:rsidRPr="00081243">
        <w:t xml:space="preserve"> </w:t>
      </w:r>
    </w:p>
    <w:p w14:paraId="0FECC10D" w14:textId="4ECA2FC6" w:rsidR="001D43C9" w:rsidRDefault="00440D0E" w:rsidP="00440D0E">
      <w:pPr>
        <w:pStyle w:val="Heading1"/>
        <w:numPr>
          <w:ilvl w:val="0"/>
          <w:numId w:val="1"/>
        </w:numPr>
        <w:jc w:val="both"/>
        <w:rPr>
          <w:rFonts w:ascii="Arial" w:hAnsi="Arial" w:cs="Arial"/>
        </w:rPr>
      </w:pPr>
      <w:r>
        <w:rPr>
          <w:rFonts w:ascii="Arial" w:hAnsi="Arial" w:cs="Arial"/>
        </w:rPr>
        <w:t xml:space="preserve">Discussion </w:t>
      </w:r>
      <w:r w:rsidR="00455E5A">
        <w:rPr>
          <w:rFonts w:ascii="Arial" w:hAnsi="Arial" w:cs="Arial"/>
        </w:rPr>
        <w:t>multiple relaxation scenarios</w:t>
      </w:r>
    </w:p>
    <w:p w14:paraId="19426EA5" w14:textId="7101FBDE" w:rsidR="00455E5A" w:rsidRPr="00455E5A" w:rsidRDefault="00455E5A" w:rsidP="00455E5A">
      <w:pPr>
        <w:jc w:val="both"/>
        <w:rPr>
          <w:rFonts w:eastAsia="PMingLiU"/>
        </w:rPr>
      </w:pPr>
      <w:r w:rsidRPr="00455E5A">
        <w:rPr>
          <w:rFonts w:eastAsia="PMingLiU"/>
        </w:rPr>
        <w:t xml:space="preserve">For the scenario of UE fulfilling </w:t>
      </w:r>
      <w:r>
        <w:rPr>
          <w:rFonts w:eastAsia="PMingLiU"/>
        </w:rPr>
        <w:t xml:space="preserve">Rel-16 </w:t>
      </w:r>
      <w:r w:rsidRPr="00455E5A">
        <w:rPr>
          <w:rFonts w:eastAsia="PMingLiU"/>
        </w:rPr>
        <w:t xml:space="preserve">low mobility and not-at-cell edge criterion and </w:t>
      </w:r>
      <w:r>
        <w:rPr>
          <w:rFonts w:eastAsia="PMingLiU"/>
        </w:rPr>
        <w:t xml:space="preserve">Rel-17 </w:t>
      </w:r>
      <w:r w:rsidRPr="00455E5A">
        <w:rPr>
          <w:rFonts w:eastAsia="PMingLiU"/>
        </w:rPr>
        <w:t>stationary criteria, we observe the following:</w:t>
      </w:r>
    </w:p>
    <w:p w14:paraId="03FFC6B0" w14:textId="3CF28CC7" w:rsidR="00455E5A" w:rsidRPr="00455E5A" w:rsidRDefault="00455E5A" w:rsidP="00455E5A">
      <w:pPr>
        <w:pStyle w:val="ListParagraph"/>
        <w:numPr>
          <w:ilvl w:val="0"/>
          <w:numId w:val="9"/>
        </w:numPr>
        <w:jc w:val="both"/>
        <w:rPr>
          <w:rFonts w:eastAsia="PMingLiU"/>
        </w:rPr>
      </w:pPr>
      <w:r w:rsidRPr="00455E5A">
        <w:rPr>
          <w:rFonts w:eastAsia="PMingLiU" w:hint="eastAsia"/>
        </w:rPr>
        <w:t xml:space="preserve">For the case: </w:t>
      </w:r>
      <w:proofErr w:type="spellStart"/>
      <w:r w:rsidRPr="00734785">
        <w:t>Srxlev</w:t>
      </w:r>
      <w:proofErr w:type="spellEnd"/>
      <w:r w:rsidRPr="00734785">
        <w:t xml:space="preserve"> </w:t>
      </w:r>
      <w:r w:rsidRPr="00691C10">
        <w:t>≤</w:t>
      </w:r>
      <w:r w:rsidRPr="00734785">
        <w:t xml:space="preserve"> </w:t>
      </w:r>
      <w:proofErr w:type="spellStart"/>
      <w:r w:rsidRPr="00734785">
        <w:t>S</w:t>
      </w:r>
      <w:r w:rsidRPr="00455E5A">
        <w:rPr>
          <w:vertAlign w:val="subscript"/>
        </w:rPr>
        <w:t>nonIntraSearchP</w:t>
      </w:r>
      <w:proofErr w:type="spellEnd"/>
      <w:r w:rsidRPr="00734785">
        <w:t xml:space="preserve"> </w:t>
      </w:r>
      <w:r>
        <w:t>or</w:t>
      </w:r>
      <w:r w:rsidRPr="00734785">
        <w:t xml:space="preserve"> </w:t>
      </w:r>
      <w:proofErr w:type="spellStart"/>
      <w:r w:rsidRPr="00734785">
        <w:t>Squal</w:t>
      </w:r>
      <w:proofErr w:type="spellEnd"/>
      <w:r w:rsidRPr="00734785">
        <w:t xml:space="preserve"> </w:t>
      </w:r>
      <w:r w:rsidRPr="00691C10">
        <w:t>≤</w:t>
      </w:r>
      <w:r w:rsidRPr="00734785">
        <w:t xml:space="preserve"> </w:t>
      </w:r>
      <w:proofErr w:type="spellStart"/>
      <w:r w:rsidRPr="00734785">
        <w:t>S</w:t>
      </w:r>
      <w:r w:rsidRPr="00455E5A">
        <w:rPr>
          <w:vertAlign w:val="subscript"/>
        </w:rPr>
        <w:t>nonIntraSearchQ</w:t>
      </w:r>
      <w:proofErr w:type="spellEnd"/>
      <w:r>
        <w:t>:</w:t>
      </w:r>
    </w:p>
    <w:p w14:paraId="77E2F5CF" w14:textId="7C0B4DAE" w:rsidR="00455E5A" w:rsidRPr="00455E5A" w:rsidRDefault="00455E5A" w:rsidP="00455E5A">
      <w:pPr>
        <w:pStyle w:val="ListParagraph"/>
        <w:numPr>
          <w:ilvl w:val="1"/>
          <w:numId w:val="9"/>
        </w:numPr>
        <w:jc w:val="both"/>
        <w:rPr>
          <w:rFonts w:eastAsia="PMingLiU"/>
        </w:rPr>
      </w:pPr>
      <w:r w:rsidRPr="00455E5A">
        <w:rPr>
          <w:rFonts w:eastAsia="PMingLiU"/>
        </w:rPr>
        <w:t>The requirements for</w:t>
      </w:r>
      <w:r w:rsidR="00C00DE8">
        <w:rPr>
          <w:rFonts w:eastAsia="PMingLiU"/>
        </w:rPr>
        <w:t xml:space="preserve"> Rel-16</w:t>
      </w:r>
      <w:r w:rsidRPr="00455E5A">
        <w:rPr>
          <w:rFonts w:eastAsia="PMingLiU"/>
        </w:rPr>
        <w:t xml:space="preserve"> low mobility and not-at-cell edge criterion are more relaxed compared to stationary, which is 1 hour. </w:t>
      </w:r>
    </w:p>
    <w:p w14:paraId="6DA7A292" w14:textId="6CADDE20" w:rsidR="00455E5A" w:rsidRDefault="00455E5A" w:rsidP="00455E5A">
      <w:pPr>
        <w:pStyle w:val="ListParagraph"/>
        <w:numPr>
          <w:ilvl w:val="0"/>
          <w:numId w:val="9"/>
        </w:numPr>
        <w:jc w:val="both"/>
        <w:rPr>
          <w:vertAlign w:val="subscript"/>
        </w:rPr>
      </w:pPr>
      <w:r w:rsidRPr="00455E5A">
        <w:rPr>
          <w:rFonts w:eastAsia="PMingLiU" w:hint="eastAsia"/>
        </w:rPr>
        <w:t xml:space="preserve">For the case: </w:t>
      </w:r>
      <w:proofErr w:type="spellStart"/>
      <w:r w:rsidRPr="00734785">
        <w:t>Srxlev</w:t>
      </w:r>
      <w:proofErr w:type="spellEnd"/>
      <w:r w:rsidRPr="00734785">
        <w:t xml:space="preserve"> </w:t>
      </w:r>
      <w:r>
        <w:t>&gt;</w:t>
      </w:r>
      <w:r w:rsidRPr="00734785">
        <w:t xml:space="preserve"> </w:t>
      </w:r>
      <w:proofErr w:type="spellStart"/>
      <w:r w:rsidRPr="00734785">
        <w:t>S</w:t>
      </w:r>
      <w:r w:rsidRPr="00455E5A">
        <w:rPr>
          <w:vertAlign w:val="subscript"/>
        </w:rPr>
        <w:t>nonIntraSearchP</w:t>
      </w:r>
      <w:proofErr w:type="spellEnd"/>
      <w:r w:rsidRPr="00734785">
        <w:t xml:space="preserve"> </w:t>
      </w:r>
      <w:r>
        <w:t>or</w:t>
      </w:r>
      <w:r w:rsidRPr="00734785">
        <w:t xml:space="preserve"> </w:t>
      </w:r>
      <w:proofErr w:type="spellStart"/>
      <w:r w:rsidRPr="00734785">
        <w:t>Squal</w:t>
      </w:r>
      <w:proofErr w:type="spellEnd"/>
      <w:r w:rsidRPr="00734785">
        <w:t xml:space="preserve"> </w:t>
      </w:r>
      <w:r>
        <w:t>&gt;</w:t>
      </w:r>
      <w:r w:rsidRPr="00734785">
        <w:t xml:space="preserve"> </w:t>
      </w:r>
      <w:proofErr w:type="spellStart"/>
      <w:r w:rsidRPr="00734785">
        <w:t>S</w:t>
      </w:r>
      <w:r w:rsidRPr="00455E5A">
        <w:rPr>
          <w:vertAlign w:val="subscript"/>
        </w:rPr>
        <w:t>nonIntraSearchQ</w:t>
      </w:r>
      <w:proofErr w:type="spellEnd"/>
      <w:r>
        <w:t>:</w:t>
      </w:r>
    </w:p>
    <w:p w14:paraId="4E8A67B9" w14:textId="7908114E" w:rsidR="00905CB8" w:rsidRPr="00455E5A" w:rsidRDefault="00455E5A" w:rsidP="00455E5A">
      <w:pPr>
        <w:pStyle w:val="ListParagraph"/>
        <w:numPr>
          <w:ilvl w:val="1"/>
          <w:numId w:val="9"/>
        </w:numPr>
        <w:jc w:val="both"/>
        <w:rPr>
          <w:vertAlign w:val="subscript"/>
        </w:rPr>
      </w:pPr>
      <w:r w:rsidRPr="00455E5A">
        <w:rPr>
          <w:rFonts w:eastAsia="PMingLiU"/>
        </w:rPr>
        <w:t xml:space="preserve">The requirements for </w:t>
      </w:r>
      <w:r w:rsidR="00C00DE8" w:rsidRPr="00455E5A">
        <w:rPr>
          <w:rFonts w:eastAsia="PMingLiU"/>
        </w:rPr>
        <w:t>stationary</w:t>
      </w:r>
      <w:r w:rsidRPr="00455E5A">
        <w:rPr>
          <w:rFonts w:eastAsia="PMingLiU"/>
        </w:rPr>
        <w:t xml:space="preserve"> criterion are more relaxed compared to low mobility and not-at-cell edge criterion, which is K2=240.</w:t>
      </w:r>
    </w:p>
    <w:p w14:paraId="5B1E6B0B" w14:textId="76C38F98" w:rsidR="00235868" w:rsidRPr="00235868" w:rsidRDefault="00C00DE8" w:rsidP="00235868">
      <w:pPr>
        <w:pStyle w:val="ListParagraph"/>
        <w:numPr>
          <w:ilvl w:val="0"/>
          <w:numId w:val="5"/>
        </w:numPr>
        <w:spacing w:after="180"/>
        <w:contextualSpacing w:val="0"/>
        <w:jc w:val="both"/>
        <w:rPr>
          <w:rFonts w:ascii="Times New Roman" w:hAnsi="Times New Roman" w:cs="Times New Roman"/>
        </w:rPr>
      </w:pPr>
      <w:bookmarkStart w:id="5" w:name="_Ref131861059"/>
      <w:bookmarkStart w:id="6" w:name="_Ref142673202"/>
      <w:r>
        <w:rPr>
          <w:rFonts w:cstheme="minorHAnsi"/>
          <w:b/>
          <w:lang w:eastAsia="ko-KR"/>
        </w:rPr>
        <w:t>RAN4 shall update the requirements in clauses ‘</w:t>
      </w:r>
      <w:r w:rsidRPr="00C00DE8">
        <w:rPr>
          <w:rFonts w:cstheme="minorHAnsi"/>
          <w:b/>
          <w:lang w:eastAsia="ko-KR"/>
        </w:rPr>
        <w:t>4.2B.2.10.8</w:t>
      </w:r>
      <w:r>
        <w:rPr>
          <w:rFonts w:cstheme="minorHAnsi"/>
          <w:b/>
          <w:lang w:eastAsia="ko-KR"/>
        </w:rPr>
        <w:t>’ and ‘</w:t>
      </w:r>
      <w:r w:rsidRPr="00C00DE8">
        <w:rPr>
          <w:rFonts w:cstheme="minorHAnsi"/>
          <w:b/>
          <w:lang w:eastAsia="ko-KR"/>
        </w:rPr>
        <w:t>4.2B.2.1</w:t>
      </w:r>
      <w:r>
        <w:rPr>
          <w:rFonts w:cstheme="minorHAnsi"/>
          <w:b/>
          <w:lang w:eastAsia="ko-KR"/>
        </w:rPr>
        <w:t>1</w:t>
      </w:r>
      <w:r w:rsidRPr="00C00DE8">
        <w:rPr>
          <w:rFonts w:cstheme="minorHAnsi"/>
          <w:b/>
          <w:lang w:eastAsia="ko-KR"/>
        </w:rPr>
        <w:t>.8</w:t>
      </w:r>
      <w:r>
        <w:rPr>
          <w:rFonts w:cstheme="minorHAnsi"/>
          <w:b/>
          <w:lang w:eastAsia="ko-KR"/>
        </w:rPr>
        <w:t>’</w:t>
      </w:r>
      <w:bookmarkEnd w:id="5"/>
      <w:r>
        <w:rPr>
          <w:rFonts w:cstheme="minorHAnsi"/>
          <w:b/>
          <w:lang w:eastAsia="ko-KR"/>
        </w:rPr>
        <w:t xml:space="preserve"> to reflect that for the case of </w:t>
      </w:r>
      <w:r>
        <w:rPr>
          <w:rFonts w:cstheme="minorHAnsi"/>
          <w:b/>
          <w:lang w:eastAsia="ko-KR"/>
        </w:rPr>
        <w:br/>
        <w:t>(</w:t>
      </w:r>
      <w:proofErr w:type="spellStart"/>
      <w:r>
        <w:rPr>
          <w:rFonts w:cstheme="minorHAnsi"/>
          <w:b/>
          <w:lang w:eastAsia="ko-KR"/>
        </w:rPr>
        <w:t>i</w:t>
      </w:r>
      <w:proofErr w:type="spellEnd"/>
      <w:r>
        <w:rPr>
          <w:rFonts w:cstheme="minorHAnsi"/>
          <w:b/>
          <w:lang w:eastAsia="ko-KR"/>
        </w:rPr>
        <w:t xml:space="preserve">) </w:t>
      </w:r>
      <w:proofErr w:type="spellStart"/>
      <w:r w:rsidRPr="00C00DE8">
        <w:rPr>
          <w:b/>
          <w:bCs/>
        </w:rPr>
        <w:t>Srxlev</w:t>
      </w:r>
      <w:proofErr w:type="spellEnd"/>
      <w:r w:rsidRPr="00C00DE8">
        <w:rPr>
          <w:b/>
          <w:bCs/>
        </w:rPr>
        <w:t xml:space="preserve"> ≤ </w:t>
      </w:r>
      <w:proofErr w:type="spellStart"/>
      <w:r w:rsidRPr="00C00DE8">
        <w:rPr>
          <w:b/>
          <w:bCs/>
        </w:rPr>
        <w:t>S</w:t>
      </w:r>
      <w:r w:rsidRPr="00C00DE8">
        <w:rPr>
          <w:b/>
          <w:bCs/>
          <w:vertAlign w:val="subscript"/>
        </w:rPr>
        <w:t>nonIntraSearchP</w:t>
      </w:r>
      <w:proofErr w:type="spellEnd"/>
      <w:r w:rsidRPr="00C00DE8">
        <w:rPr>
          <w:b/>
          <w:bCs/>
        </w:rPr>
        <w:t xml:space="preserve"> or </w:t>
      </w:r>
      <w:proofErr w:type="spellStart"/>
      <w:r w:rsidRPr="00C00DE8">
        <w:rPr>
          <w:b/>
          <w:bCs/>
        </w:rPr>
        <w:t>Squal</w:t>
      </w:r>
      <w:proofErr w:type="spellEnd"/>
      <w:r w:rsidRPr="00C00DE8">
        <w:rPr>
          <w:b/>
          <w:bCs/>
        </w:rPr>
        <w:t xml:space="preserve"> ≤ </w:t>
      </w:r>
      <w:proofErr w:type="spellStart"/>
      <w:r w:rsidRPr="00C00DE8">
        <w:rPr>
          <w:b/>
          <w:bCs/>
        </w:rPr>
        <w:t>S</w:t>
      </w:r>
      <w:r w:rsidRPr="00C00DE8">
        <w:rPr>
          <w:b/>
          <w:bCs/>
          <w:vertAlign w:val="subscript"/>
        </w:rPr>
        <w:t>nonIntraSearchQ</w:t>
      </w:r>
      <w:proofErr w:type="spellEnd"/>
      <w:r w:rsidRPr="00C00DE8">
        <w:rPr>
          <w:b/>
          <w:bCs/>
        </w:rPr>
        <w:t>:</w:t>
      </w:r>
      <w:r>
        <w:rPr>
          <w:b/>
          <w:bCs/>
        </w:rPr>
        <w:t xml:space="preserve"> </w:t>
      </w:r>
      <w:r w:rsidRPr="00C00DE8">
        <w:rPr>
          <w:b/>
          <w:bCs/>
        </w:rPr>
        <w:sym w:font="Wingdings" w:char="F0E0"/>
      </w:r>
      <w:r>
        <w:rPr>
          <w:b/>
          <w:bCs/>
        </w:rPr>
        <w:t xml:space="preserve"> requirements to follow </w:t>
      </w:r>
      <w:r w:rsidRPr="00C00DE8">
        <w:rPr>
          <w:b/>
          <w:bCs/>
        </w:rPr>
        <w:t>Rel-16 low mobility and not-at-cell edge criterion, which is 1 hour</w:t>
      </w:r>
      <w:r>
        <w:rPr>
          <w:b/>
          <w:bCs/>
        </w:rPr>
        <w:t xml:space="preserve">; while </w:t>
      </w:r>
      <w:r>
        <w:rPr>
          <w:b/>
          <w:bCs/>
        </w:rPr>
        <w:br/>
        <w:t xml:space="preserve">(ii) </w:t>
      </w:r>
      <w:proofErr w:type="spellStart"/>
      <w:r w:rsidRPr="00C00DE8">
        <w:rPr>
          <w:b/>
          <w:bCs/>
        </w:rPr>
        <w:t>Srxlev</w:t>
      </w:r>
      <w:proofErr w:type="spellEnd"/>
      <w:r w:rsidRPr="00C00DE8">
        <w:rPr>
          <w:b/>
          <w:bCs/>
        </w:rPr>
        <w:t xml:space="preserve"> &gt; </w:t>
      </w:r>
      <w:proofErr w:type="spellStart"/>
      <w:r w:rsidRPr="00C00DE8">
        <w:rPr>
          <w:b/>
          <w:bCs/>
        </w:rPr>
        <w:t>S</w:t>
      </w:r>
      <w:r w:rsidRPr="00C00DE8">
        <w:rPr>
          <w:b/>
          <w:bCs/>
          <w:vertAlign w:val="subscript"/>
        </w:rPr>
        <w:t>nonIntraSearchP</w:t>
      </w:r>
      <w:proofErr w:type="spellEnd"/>
      <w:r w:rsidRPr="00C00DE8">
        <w:rPr>
          <w:b/>
          <w:bCs/>
        </w:rPr>
        <w:t xml:space="preserve"> or </w:t>
      </w:r>
      <w:proofErr w:type="spellStart"/>
      <w:r w:rsidRPr="00C00DE8">
        <w:rPr>
          <w:b/>
          <w:bCs/>
        </w:rPr>
        <w:t>Squal</w:t>
      </w:r>
      <w:proofErr w:type="spellEnd"/>
      <w:r w:rsidRPr="00C00DE8">
        <w:rPr>
          <w:b/>
          <w:bCs/>
        </w:rPr>
        <w:t xml:space="preserve"> &gt; </w:t>
      </w:r>
      <w:proofErr w:type="spellStart"/>
      <w:r w:rsidRPr="00C00DE8">
        <w:rPr>
          <w:b/>
          <w:bCs/>
        </w:rPr>
        <w:t>S</w:t>
      </w:r>
      <w:r w:rsidRPr="00C00DE8">
        <w:rPr>
          <w:b/>
          <w:bCs/>
          <w:vertAlign w:val="subscript"/>
        </w:rPr>
        <w:t>nonIntraSearchQ</w:t>
      </w:r>
      <w:proofErr w:type="spellEnd"/>
      <w:r w:rsidRPr="00C00DE8">
        <w:rPr>
          <w:b/>
          <w:bCs/>
        </w:rPr>
        <w:t xml:space="preserve">: </w:t>
      </w:r>
      <w:r w:rsidRPr="00C00DE8">
        <w:rPr>
          <w:b/>
          <w:bCs/>
        </w:rPr>
        <w:sym w:font="Wingdings" w:char="F0E0"/>
      </w:r>
      <w:r>
        <w:rPr>
          <w:b/>
          <w:bCs/>
        </w:rPr>
        <w:t xml:space="preserve"> requirements to follow Rel-17 stationary criterion</w:t>
      </w:r>
      <w:r w:rsidRPr="00C00DE8">
        <w:rPr>
          <w:b/>
          <w:bCs/>
        </w:rPr>
        <w:t>, which is K2=240</w:t>
      </w:r>
      <w:r>
        <w:rPr>
          <w:b/>
          <w:bCs/>
        </w:rPr>
        <w:t>.</w:t>
      </w:r>
      <w:bookmarkEnd w:id="6"/>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5DA32808"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135EEB" w:rsidRPr="00670E24">
        <w:t>:</w:t>
      </w:r>
      <w:r w:rsidR="00135EEB" w:rsidRPr="003E7CA4">
        <w:t xml:space="preserve"> </w:t>
      </w:r>
      <w:bookmarkStart w:id="7" w:name="_Ref92572437"/>
    </w:p>
    <w:p w14:paraId="1B716616" w14:textId="452E47DA" w:rsidR="00440D0E" w:rsidRDefault="009C7B82" w:rsidP="00D636E8">
      <w:pPr>
        <w:jc w:val="both"/>
        <w:rPr>
          <w:b/>
          <w:bCs/>
        </w:rPr>
      </w:pPr>
      <w:r>
        <w:rPr>
          <w:b/>
          <w:bCs/>
        </w:rPr>
        <w:fldChar w:fldCharType="begin"/>
      </w:r>
      <w:r>
        <w:rPr>
          <w:b/>
          <w:bCs/>
        </w:rPr>
        <w:instrText xml:space="preserve"> REF _Ref131861059 \r \h </w:instrText>
      </w:r>
      <w:r>
        <w:rPr>
          <w:b/>
          <w:bCs/>
        </w:rPr>
      </w:r>
      <w:r>
        <w:rPr>
          <w:b/>
          <w:bCs/>
        </w:rPr>
        <w:fldChar w:fldCharType="separate"/>
      </w:r>
      <w:r w:rsidR="003D4DDF">
        <w:rPr>
          <w:b/>
          <w:bCs/>
        </w:rPr>
        <w:t>Proposal 1:</w:t>
      </w:r>
      <w:r>
        <w:rPr>
          <w:b/>
          <w:bCs/>
        </w:rPr>
        <w:fldChar w:fldCharType="end"/>
      </w:r>
      <w:r>
        <w:rPr>
          <w:b/>
          <w:bCs/>
        </w:rPr>
        <w:t xml:space="preserve"> </w:t>
      </w:r>
      <w:r w:rsidR="00F772C0">
        <w:rPr>
          <w:b/>
          <w:bCs/>
        </w:rPr>
        <w:fldChar w:fldCharType="begin"/>
      </w:r>
      <w:r w:rsidR="00F772C0">
        <w:rPr>
          <w:b/>
          <w:bCs/>
        </w:rPr>
        <w:instrText xml:space="preserve"> REF _Ref142673202 \h </w:instrText>
      </w:r>
      <w:r w:rsidR="00F772C0">
        <w:rPr>
          <w:b/>
          <w:bCs/>
        </w:rPr>
      </w:r>
      <w:r w:rsidR="00F772C0">
        <w:rPr>
          <w:b/>
          <w:bCs/>
        </w:rPr>
        <w:fldChar w:fldCharType="separate"/>
      </w:r>
      <w:r w:rsidR="003D4DDF">
        <w:rPr>
          <w:rFonts w:cstheme="minorHAnsi"/>
          <w:b/>
          <w:lang w:eastAsia="ko-KR"/>
        </w:rPr>
        <w:t>RAN4 shall update the requirements in clauses ‘</w:t>
      </w:r>
      <w:r w:rsidR="003D4DDF" w:rsidRPr="00C00DE8">
        <w:rPr>
          <w:rFonts w:cstheme="minorHAnsi"/>
          <w:b/>
          <w:lang w:eastAsia="ko-KR"/>
        </w:rPr>
        <w:t>4.2B.2.10.8</w:t>
      </w:r>
      <w:r w:rsidR="003D4DDF">
        <w:rPr>
          <w:rFonts w:cstheme="minorHAnsi"/>
          <w:b/>
          <w:lang w:eastAsia="ko-KR"/>
        </w:rPr>
        <w:t>’ and ‘</w:t>
      </w:r>
      <w:r w:rsidR="003D4DDF" w:rsidRPr="00C00DE8">
        <w:rPr>
          <w:rFonts w:cstheme="minorHAnsi"/>
          <w:b/>
          <w:lang w:eastAsia="ko-KR"/>
        </w:rPr>
        <w:t>4.2B.2.1</w:t>
      </w:r>
      <w:r w:rsidR="003D4DDF">
        <w:rPr>
          <w:rFonts w:cstheme="minorHAnsi"/>
          <w:b/>
          <w:lang w:eastAsia="ko-KR"/>
        </w:rPr>
        <w:t>1</w:t>
      </w:r>
      <w:r w:rsidR="003D4DDF" w:rsidRPr="00C00DE8">
        <w:rPr>
          <w:rFonts w:cstheme="minorHAnsi"/>
          <w:b/>
          <w:lang w:eastAsia="ko-KR"/>
        </w:rPr>
        <w:t>.8</w:t>
      </w:r>
      <w:r w:rsidR="003D4DDF">
        <w:rPr>
          <w:rFonts w:cstheme="minorHAnsi"/>
          <w:b/>
          <w:lang w:eastAsia="ko-KR"/>
        </w:rPr>
        <w:t xml:space="preserve">’ to reflect that for the case of </w:t>
      </w:r>
      <w:r w:rsidR="003D4DDF">
        <w:rPr>
          <w:rFonts w:cstheme="minorHAnsi"/>
          <w:b/>
          <w:lang w:eastAsia="ko-KR"/>
        </w:rPr>
        <w:br/>
      </w:r>
      <w:r w:rsidR="003D4DDF">
        <w:rPr>
          <w:rFonts w:cstheme="minorHAnsi"/>
          <w:b/>
          <w:lang w:eastAsia="ko-KR"/>
        </w:rPr>
        <w:lastRenderedPageBreak/>
        <w:t>(</w:t>
      </w:r>
      <w:proofErr w:type="spellStart"/>
      <w:r w:rsidR="003D4DDF">
        <w:rPr>
          <w:rFonts w:cstheme="minorHAnsi"/>
          <w:b/>
          <w:lang w:eastAsia="ko-KR"/>
        </w:rPr>
        <w:t>i</w:t>
      </w:r>
      <w:proofErr w:type="spellEnd"/>
      <w:r w:rsidR="003D4DDF">
        <w:rPr>
          <w:rFonts w:cstheme="minorHAnsi"/>
          <w:b/>
          <w:lang w:eastAsia="ko-KR"/>
        </w:rPr>
        <w:t xml:space="preserve">) </w:t>
      </w:r>
      <w:proofErr w:type="spellStart"/>
      <w:r w:rsidR="003D4DDF" w:rsidRPr="00C00DE8">
        <w:rPr>
          <w:b/>
          <w:bCs/>
        </w:rPr>
        <w:t>Srxlev</w:t>
      </w:r>
      <w:proofErr w:type="spellEnd"/>
      <w:r w:rsidR="003D4DDF" w:rsidRPr="00C00DE8">
        <w:rPr>
          <w:b/>
          <w:bCs/>
        </w:rPr>
        <w:t xml:space="preserve"> ≤ </w:t>
      </w:r>
      <w:proofErr w:type="spellStart"/>
      <w:r w:rsidR="003D4DDF" w:rsidRPr="00C00DE8">
        <w:rPr>
          <w:b/>
          <w:bCs/>
        </w:rPr>
        <w:t>S</w:t>
      </w:r>
      <w:r w:rsidR="003D4DDF" w:rsidRPr="00C00DE8">
        <w:rPr>
          <w:b/>
          <w:bCs/>
          <w:vertAlign w:val="subscript"/>
        </w:rPr>
        <w:t>nonIntraSearchP</w:t>
      </w:r>
      <w:proofErr w:type="spellEnd"/>
      <w:r w:rsidR="003D4DDF" w:rsidRPr="00C00DE8">
        <w:rPr>
          <w:b/>
          <w:bCs/>
        </w:rPr>
        <w:t xml:space="preserve"> or </w:t>
      </w:r>
      <w:proofErr w:type="spellStart"/>
      <w:r w:rsidR="003D4DDF" w:rsidRPr="00C00DE8">
        <w:rPr>
          <w:b/>
          <w:bCs/>
        </w:rPr>
        <w:t>Squal</w:t>
      </w:r>
      <w:proofErr w:type="spellEnd"/>
      <w:r w:rsidR="003D4DDF" w:rsidRPr="00C00DE8">
        <w:rPr>
          <w:b/>
          <w:bCs/>
        </w:rPr>
        <w:t xml:space="preserve"> ≤ </w:t>
      </w:r>
      <w:proofErr w:type="spellStart"/>
      <w:r w:rsidR="003D4DDF" w:rsidRPr="00C00DE8">
        <w:rPr>
          <w:b/>
          <w:bCs/>
        </w:rPr>
        <w:t>S</w:t>
      </w:r>
      <w:r w:rsidR="003D4DDF" w:rsidRPr="00C00DE8">
        <w:rPr>
          <w:b/>
          <w:bCs/>
          <w:vertAlign w:val="subscript"/>
        </w:rPr>
        <w:t>nonIntraSearchQ</w:t>
      </w:r>
      <w:proofErr w:type="spellEnd"/>
      <w:r w:rsidR="003D4DDF" w:rsidRPr="00C00DE8">
        <w:rPr>
          <w:b/>
          <w:bCs/>
        </w:rPr>
        <w:t>:</w:t>
      </w:r>
      <w:r w:rsidR="003D4DDF">
        <w:rPr>
          <w:b/>
          <w:bCs/>
        </w:rPr>
        <w:t xml:space="preserve"> </w:t>
      </w:r>
      <w:r w:rsidR="003D4DDF" w:rsidRPr="00C00DE8">
        <w:rPr>
          <w:b/>
          <w:bCs/>
        </w:rPr>
        <w:sym w:font="Wingdings" w:char="F0E0"/>
      </w:r>
      <w:r w:rsidR="003D4DDF">
        <w:rPr>
          <w:b/>
          <w:bCs/>
        </w:rPr>
        <w:t xml:space="preserve"> requirements to follow </w:t>
      </w:r>
      <w:r w:rsidR="003D4DDF" w:rsidRPr="00C00DE8">
        <w:rPr>
          <w:b/>
          <w:bCs/>
        </w:rPr>
        <w:t>Rel-16 low mobility and not-at-cell edge criterion, which is 1 hour</w:t>
      </w:r>
      <w:r w:rsidR="003D4DDF">
        <w:rPr>
          <w:b/>
          <w:bCs/>
        </w:rPr>
        <w:t xml:space="preserve">; while </w:t>
      </w:r>
      <w:r w:rsidR="003D4DDF">
        <w:rPr>
          <w:b/>
          <w:bCs/>
        </w:rPr>
        <w:br/>
        <w:t xml:space="preserve">(ii) </w:t>
      </w:r>
      <w:proofErr w:type="spellStart"/>
      <w:r w:rsidR="003D4DDF" w:rsidRPr="00C00DE8">
        <w:rPr>
          <w:b/>
          <w:bCs/>
        </w:rPr>
        <w:t>Srxlev</w:t>
      </w:r>
      <w:proofErr w:type="spellEnd"/>
      <w:r w:rsidR="003D4DDF" w:rsidRPr="00C00DE8">
        <w:rPr>
          <w:b/>
          <w:bCs/>
        </w:rPr>
        <w:t xml:space="preserve"> &gt; </w:t>
      </w:r>
      <w:proofErr w:type="spellStart"/>
      <w:r w:rsidR="003D4DDF" w:rsidRPr="00C00DE8">
        <w:rPr>
          <w:b/>
          <w:bCs/>
        </w:rPr>
        <w:t>S</w:t>
      </w:r>
      <w:r w:rsidR="003D4DDF" w:rsidRPr="00C00DE8">
        <w:rPr>
          <w:b/>
          <w:bCs/>
          <w:vertAlign w:val="subscript"/>
        </w:rPr>
        <w:t>nonIntraSearchP</w:t>
      </w:r>
      <w:proofErr w:type="spellEnd"/>
      <w:r w:rsidR="003D4DDF" w:rsidRPr="00C00DE8">
        <w:rPr>
          <w:b/>
          <w:bCs/>
        </w:rPr>
        <w:t xml:space="preserve"> or </w:t>
      </w:r>
      <w:proofErr w:type="spellStart"/>
      <w:r w:rsidR="003D4DDF" w:rsidRPr="00C00DE8">
        <w:rPr>
          <w:b/>
          <w:bCs/>
        </w:rPr>
        <w:t>Squal</w:t>
      </w:r>
      <w:proofErr w:type="spellEnd"/>
      <w:r w:rsidR="003D4DDF" w:rsidRPr="00C00DE8">
        <w:rPr>
          <w:b/>
          <w:bCs/>
        </w:rPr>
        <w:t xml:space="preserve"> &gt; </w:t>
      </w:r>
      <w:proofErr w:type="spellStart"/>
      <w:r w:rsidR="003D4DDF" w:rsidRPr="00C00DE8">
        <w:rPr>
          <w:b/>
          <w:bCs/>
        </w:rPr>
        <w:t>S</w:t>
      </w:r>
      <w:r w:rsidR="003D4DDF" w:rsidRPr="00C00DE8">
        <w:rPr>
          <w:b/>
          <w:bCs/>
          <w:vertAlign w:val="subscript"/>
        </w:rPr>
        <w:t>nonIntraSearchQ</w:t>
      </w:r>
      <w:proofErr w:type="spellEnd"/>
      <w:r w:rsidR="003D4DDF" w:rsidRPr="00C00DE8">
        <w:rPr>
          <w:b/>
          <w:bCs/>
        </w:rPr>
        <w:t xml:space="preserve">: </w:t>
      </w:r>
      <w:r w:rsidR="003D4DDF" w:rsidRPr="00C00DE8">
        <w:rPr>
          <w:b/>
          <w:bCs/>
        </w:rPr>
        <w:sym w:font="Wingdings" w:char="F0E0"/>
      </w:r>
      <w:r w:rsidR="003D4DDF">
        <w:rPr>
          <w:b/>
          <w:bCs/>
        </w:rPr>
        <w:t xml:space="preserve"> requirements to follow Rel-17 stationary criterion</w:t>
      </w:r>
      <w:r w:rsidR="003D4DDF" w:rsidRPr="00C00DE8">
        <w:rPr>
          <w:b/>
          <w:bCs/>
        </w:rPr>
        <w:t>, which is K2=240</w:t>
      </w:r>
      <w:r w:rsidR="003D4DDF">
        <w:rPr>
          <w:b/>
          <w:bCs/>
        </w:rPr>
        <w:t>.</w:t>
      </w:r>
      <w:r w:rsidR="00F772C0">
        <w:rPr>
          <w:b/>
          <w:bCs/>
        </w:rPr>
        <w:fldChar w:fldCharType="end"/>
      </w:r>
    </w:p>
    <w:bookmarkEnd w:id="7"/>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460F47F4" w14:textId="66B91120" w:rsidR="0012574C" w:rsidRDefault="0012574C" w:rsidP="00083C00">
      <w:pPr>
        <w:pStyle w:val="ListParagraph"/>
        <w:numPr>
          <w:ilvl w:val="0"/>
          <w:numId w:val="4"/>
        </w:numPr>
        <w:jc w:val="both"/>
        <w:rPr>
          <w:rFonts w:cstheme="minorHAnsi"/>
          <w:color w:val="000000"/>
        </w:rPr>
      </w:pPr>
      <w:bookmarkStart w:id="8" w:name="_Ref115358872"/>
      <w:r>
        <w:rPr>
          <w:rFonts w:cstheme="minorHAnsi"/>
          <w:color w:val="000000"/>
        </w:rPr>
        <w:t>R</w:t>
      </w:r>
      <w:r w:rsidR="006F02A0">
        <w:rPr>
          <w:rFonts w:cstheme="minorHAnsi"/>
          <w:color w:val="000000"/>
        </w:rPr>
        <w:t>4</w:t>
      </w:r>
      <w:r>
        <w:rPr>
          <w:rFonts w:cstheme="minorHAnsi"/>
          <w:color w:val="000000"/>
        </w:rPr>
        <w:t>-</w:t>
      </w:r>
      <w:bookmarkStart w:id="9" w:name="_Hlk142660658"/>
      <w:r w:rsidR="006F02A0" w:rsidRPr="006F02A0">
        <w:rPr>
          <w:rFonts w:cstheme="minorHAnsi"/>
          <w:bCs/>
          <w:color w:val="000000"/>
        </w:rPr>
        <w:t>2207105</w:t>
      </w:r>
      <w:r w:rsidRPr="00560F8D">
        <w:rPr>
          <w:rFonts w:cstheme="minorHAnsi"/>
          <w:bCs/>
          <w:color w:val="000000"/>
        </w:rPr>
        <w:t>, “</w:t>
      </w:r>
      <w:r w:rsidR="006F02A0" w:rsidRPr="006F02A0">
        <w:rPr>
          <w:rFonts w:cstheme="minorHAnsi"/>
          <w:bCs/>
          <w:color w:val="000000"/>
        </w:rPr>
        <w:t xml:space="preserve">WF on </w:t>
      </w:r>
      <w:proofErr w:type="spellStart"/>
      <w:r w:rsidR="006F02A0" w:rsidRPr="006F02A0">
        <w:rPr>
          <w:rFonts w:cstheme="minorHAnsi"/>
          <w:bCs/>
          <w:color w:val="000000"/>
        </w:rPr>
        <w:t>eDRX</w:t>
      </w:r>
      <w:proofErr w:type="spellEnd"/>
      <w:r w:rsidR="006F02A0" w:rsidRPr="006F02A0">
        <w:rPr>
          <w:rFonts w:cstheme="minorHAnsi"/>
          <w:bCs/>
          <w:color w:val="000000"/>
        </w:rPr>
        <w:t xml:space="preserve"> and RRM measurement relaxations requirements for Redcap UE</w:t>
      </w:r>
      <w:r w:rsidRPr="00560F8D">
        <w:rPr>
          <w:rFonts w:cstheme="minorHAnsi"/>
          <w:bCs/>
          <w:color w:val="000000"/>
        </w:rPr>
        <w:t>”,</w:t>
      </w:r>
      <w:r>
        <w:rPr>
          <w:rFonts w:cstheme="minorHAnsi"/>
          <w:color w:val="000000"/>
        </w:rPr>
        <w:t xml:space="preserve"> </w:t>
      </w:r>
      <w:r w:rsidR="00560F8D">
        <w:rPr>
          <w:rFonts w:cstheme="minorHAnsi"/>
          <w:color w:val="000000"/>
        </w:rPr>
        <w:t xml:space="preserve">vivo, </w:t>
      </w:r>
      <w:r w:rsidR="006F02A0" w:rsidRPr="00995241">
        <w:rPr>
          <w:rFonts w:cstheme="minorHAnsi"/>
          <w:color w:val="000000"/>
        </w:rPr>
        <w:t>Electronic Meeting</w:t>
      </w:r>
      <w:r w:rsidR="006F02A0" w:rsidRPr="00E861C0">
        <w:rPr>
          <w:rFonts w:cstheme="minorHAnsi"/>
          <w:color w:val="000000"/>
        </w:rPr>
        <w:t>,</w:t>
      </w:r>
      <w:r w:rsidR="00560F8D">
        <w:rPr>
          <w:rFonts w:cstheme="minorHAnsi"/>
          <w:color w:val="000000"/>
        </w:rPr>
        <w:t xml:space="preserve"> March</w:t>
      </w:r>
      <w:r w:rsidR="005E1298">
        <w:rPr>
          <w:rFonts w:cstheme="minorHAnsi"/>
          <w:color w:val="000000"/>
        </w:rPr>
        <w:t xml:space="preserve"> 202</w:t>
      </w:r>
      <w:bookmarkEnd w:id="9"/>
      <w:r w:rsidR="006F02A0">
        <w:rPr>
          <w:rFonts w:cstheme="minorHAnsi"/>
          <w:color w:val="000000"/>
        </w:rPr>
        <w:t>2</w:t>
      </w:r>
      <w:r>
        <w:rPr>
          <w:rFonts w:cstheme="minorHAnsi"/>
          <w:color w:val="000000"/>
        </w:rPr>
        <w:t>.</w:t>
      </w:r>
      <w:bookmarkStart w:id="10" w:name="_Hlk134889189"/>
      <w:bookmarkEnd w:id="8"/>
    </w:p>
    <w:p w14:paraId="466BB436" w14:textId="2C70378C" w:rsidR="00E32789" w:rsidRPr="00F94F96" w:rsidRDefault="00256FA0" w:rsidP="00F94F96">
      <w:pPr>
        <w:pStyle w:val="ListParagraph"/>
        <w:numPr>
          <w:ilvl w:val="0"/>
          <w:numId w:val="4"/>
        </w:numPr>
        <w:jc w:val="both"/>
        <w:rPr>
          <w:rFonts w:cstheme="minorHAnsi"/>
          <w:color w:val="000000"/>
        </w:rPr>
      </w:pPr>
      <w:bookmarkStart w:id="11" w:name="_Ref118284665"/>
      <w:r w:rsidRPr="00751201">
        <w:rPr>
          <w:rFonts w:cstheme="minorHAnsi"/>
          <w:color w:val="000000"/>
        </w:rPr>
        <w:t>R4-</w:t>
      </w:r>
      <w:bookmarkStart w:id="12" w:name="_Hlk142660677"/>
      <w:r w:rsidR="00995241" w:rsidRPr="00995241">
        <w:rPr>
          <w:rFonts w:cstheme="minorHAnsi"/>
          <w:color w:val="000000"/>
        </w:rPr>
        <w:t>2210596</w:t>
      </w:r>
      <w:r w:rsidRPr="00751201">
        <w:rPr>
          <w:rFonts w:cstheme="minorHAnsi"/>
          <w:color w:val="000000"/>
        </w:rPr>
        <w:t>, “</w:t>
      </w:r>
      <w:r w:rsidR="00995241" w:rsidRPr="00995241">
        <w:rPr>
          <w:rFonts w:cstheme="minorHAnsi"/>
          <w:color w:val="000000"/>
        </w:rPr>
        <w:t xml:space="preserve">WF on </w:t>
      </w:r>
      <w:proofErr w:type="spellStart"/>
      <w:r w:rsidR="00995241" w:rsidRPr="00995241">
        <w:rPr>
          <w:rFonts w:cstheme="minorHAnsi"/>
          <w:color w:val="000000"/>
        </w:rPr>
        <w:t>eDRX</w:t>
      </w:r>
      <w:proofErr w:type="spellEnd"/>
      <w:r w:rsidR="00995241" w:rsidRPr="00995241">
        <w:rPr>
          <w:rFonts w:cstheme="minorHAnsi"/>
          <w:color w:val="000000"/>
        </w:rPr>
        <w:t xml:space="preserve"> and RRM measurement relaxations requirements for Redcap UE</w:t>
      </w:r>
      <w:r w:rsidRPr="00751201">
        <w:rPr>
          <w:rFonts w:cstheme="minorHAnsi"/>
          <w:color w:val="000000"/>
        </w:rPr>
        <w:t xml:space="preserve">”, </w:t>
      </w:r>
      <w:r w:rsidR="00A87AAA" w:rsidRPr="00751201">
        <w:rPr>
          <w:rFonts w:cstheme="minorHAnsi"/>
          <w:color w:val="000000"/>
        </w:rPr>
        <w:t>vivo</w:t>
      </w:r>
      <w:r w:rsidR="00751201" w:rsidRPr="00751201">
        <w:rPr>
          <w:rFonts w:cstheme="minorHAnsi"/>
          <w:color w:val="000000"/>
        </w:rPr>
        <w:t xml:space="preserve">, </w:t>
      </w:r>
      <w:r w:rsidR="00995241" w:rsidRPr="00995241">
        <w:rPr>
          <w:rFonts w:cstheme="minorHAnsi"/>
          <w:color w:val="000000"/>
        </w:rPr>
        <w:t>Electronic Meeting</w:t>
      </w:r>
      <w:r w:rsidR="00E861C0" w:rsidRPr="00E861C0">
        <w:rPr>
          <w:rFonts w:cstheme="minorHAnsi"/>
          <w:color w:val="000000"/>
        </w:rPr>
        <w:t xml:space="preserve">, May </w:t>
      </w:r>
      <w:r w:rsidR="00A87AAA" w:rsidRPr="00751201">
        <w:rPr>
          <w:rFonts w:cstheme="minorHAnsi"/>
          <w:color w:val="000000"/>
        </w:rPr>
        <w:t>202</w:t>
      </w:r>
      <w:bookmarkEnd w:id="12"/>
      <w:r w:rsidR="00995241">
        <w:rPr>
          <w:rFonts w:cstheme="minorHAnsi"/>
          <w:color w:val="000000"/>
        </w:rPr>
        <w:t>2</w:t>
      </w:r>
      <w:r w:rsidRPr="00751201">
        <w:rPr>
          <w:rFonts w:cstheme="minorHAnsi"/>
          <w:color w:val="000000"/>
        </w:rPr>
        <w:t>.</w:t>
      </w:r>
      <w:bookmarkEnd w:id="10"/>
      <w:bookmarkEnd w:id="11"/>
    </w:p>
    <w:sectPr w:rsidR="00E32789" w:rsidRPr="00F94F9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DA4E4" w14:textId="77777777" w:rsidR="001C6372" w:rsidRDefault="001C6372">
      <w:r>
        <w:separator/>
      </w:r>
    </w:p>
  </w:endnote>
  <w:endnote w:type="continuationSeparator" w:id="0">
    <w:p w14:paraId="43612A4F" w14:textId="77777777" w:rsidR="001C6372" w:rsidRDefault="001C6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charset w:val="00"/>
    <w:family w:val="roman"/>
    <w:pitch w:val="default"/>
  </w:font>
  <w:font w:name="rtxr">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D2AEC" w14:textId="77777777" w:rsidR="001C6372" w:rsidRDefault="001C6372">
      <w:r>
        <w:separator/>
      </w:r>
    </w:p>
  </w:footnote>
  <w:footnote w:type="continuationSeparator" w:id="0">
    <w:p w14:paraId="79ACED2A" w14:textId="77777777" w:rsidR="001C6372" w:rsidRDefault="001C63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6"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6"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821433799">
    <w:abstractNumId w:val="24"/>
  </w:num>
  <w:num w:numId="2" w16cid:durableId="1457798645">
    <w:abstractNumId w:val="9"/>
  </w:num>
  <w:num w:numId="3" w16cid:durableId="363942334">
    <w:abstractNumId w:val="12"/>
  </w:num>
  <w:num w:numId="4" w16cid:durableId="878515705">
    <w:abstractNumId w:val="22"/>
  </w:num>
  <w:num w:numId="5" w16cid:durableId="1323586028">
    <w:abstractNumId w:val="2"/>
  </w:num>
  <w:num w:numId="6" w16cid:durableId="361714732">
    <w:abstractNumId w:val="10"/>
  </w:num>
  <w:num w:numId="7" w16cid:durableId="2050031772">
    <w:abstractNumId w:val="6"/>
  </w:num>
  <w:num w:numId="8" w16cid:durableId="2009284866">
    <w:abstractNumId w:val="26"/>
  </w:num>
  <w:num w:numId="9" w16cid:durableId="325322562">
    <w:abstractNumId w:val="18"/>
  </w:num>
  <w:num w:numId="10" w16cid:durableId="1659722417">
    <w:abstractNumId w:val="4"/>
  </w:num>
  <w:num w:numId="11" w16cid:durableId="39521678">
    <w:abstractNumId w:val="29"/>
  </w:num>
  <w:num w:numId="12" w16cid:durableId="283391525">
    <w:abstractNumId w:val="3"/>
  </w:num>
  <w:num w:numId="13" w16cid:durableId="81340796">
    <w:abstractNumId w:val="15"/>
  </w:num>
  <w:num w:numId="14" w16cid:durableId="473067279">
    <w:abstractNumId w:val="25"/>
  </w:num>
  <w:num w:numId="15" w16cid:durableId="903226060">
    <w:abstractNumId w:val="0"/>
  </w:num>
  <w:num w:numId="16" w16cid:durableId="411858662">
    <w:abstractNumId w:val="27"/>
  </w:num>
  <w:num w:numId="17" w16cid:durableId="1644652055">
    <w:abstractNumId w:val="17"/>
  </w:num>
  <w:num w:numId="18" w16cid:durableId="408314814">
    <w:abstractNumId w:val="14"/>
  </w:num>
  <w:num w:numId="19" w16cid:durableId="671025474">
    <w:abstractNumId w:val="1"/>
  </w:num>
  <w:num w:numId="20" w16cid:durableId="715661012">
    <w:abstractNumId w:val="21"/>
  </w:num>
  <w:num w:numId="21" w16cid:durableId="463237402">
    <w:abstractNumId w:val="20"/>
  </w:num>
  <w:num w:numId="22" w16cid:durableId="831213672">
    <w:abstractNumId w:val="11"/>
  </w:num>
  <w:num w:numId="23" w16cid:durableId="170683535">
    <w:abstractNumId w:val="30"/>
  </w:num>
  <w:num w:numId="24" w16cid:durableId="451175971">
    <w:abstractNumId w:val="13"/>
  </w:num>
  <w:num w:numId="25" w16cid:durableId="831482418">
    <w:abstractNumId w:val="5"/>
  </w:num>
  <w:num w:numId="26" w16cid:durableId="1480807624">
    <w:abstractNumId w:val="19"/>
  </w:num>
  <w:num w:numId="27" w16cid:durableId="517736624">
    <w:abstractNumId w:val="7"/>
  </w:num>
  <w:num w:numId="28" w16cid:durableId="1993098597">
    <w:abstractNumId w:val="16"/>
  </w:num>
  <w:num w:numId="29" w16cid:durableId="1120106065">
    <w:abstractNumId w:val="8"/>
  </w:num>
  <w:num w:numId="30" w16cid:durableId="877814841">
    <w:abstractNumId w:val="23"/>
  </w:num>
  <w:num w:numId="31" w16cid:durableId="535234372">
    <w:abstractNumId w:val="28"/>
  </w:num>
  <w:num w:numId="32" w16cid:durableId="1611012153">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87AF6"/>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3D6"/>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54F"/>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72"/>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5C60"/>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868"/>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23"/>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5575"/>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1F9"/>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1E13"/>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DDF"/>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6D2"/>
    <w:rsid w:val="003E172E"/>
    <w:rsid w:val="003E1DC6"/>
    <w:rsid w:val="003E21A7"/>
    <w:rsid w:val="003E2734"/>
    <w:rsid w:val="003E2BB0"/>
    <w:rsid w:val="003E2EBF"/>
    <w:rsid w:val="003E30E7"/>
    <w:rsid w:val="003E32E1"/>
    <w:rsid w:val="003E3655"/>
    <w:rsid w:val="003E3963"/>
    <w:rsid w:val="003E4083"/>
    <w:rsid w:val="003E4570"/>
    <w:rsid w:val="003E4D23"/>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3DE"/>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3E67"/>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857"/>
    <w:rsid w:val="00455D25"/>
    <w:rsid w:val="00455D66"/>
    <w:rsid w:val="00455D8B"/>
    <w:rsid w:val="00455D9D"/>
    <w:rsid w:val="00455DA0"/>
    <w:rsid w:val="00455E5A"/>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090"/>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233"/>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61C"/>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977"/>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0AC"/>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603B3"/>
    <w:rsid w:val="00560901"/>
    <w:rsid w:val="00560A3D"/>
    <w:rsid w:val="00560B38"/>
    <w:rsid w:val="00560B6D"/>
    <w:rsid w:val="00560F8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10D4"/>
    <w:rsid w:val="005B165C"/>
    <w:rsid w:val="005B1957"/>
    <w:rsid w:val="005B1B24"/>
    <w:rsid w:val="005B2177"/>
    <w:rsid w:val="005B22E6"/>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39FA"/>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1F0C"/>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C2F"/>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E72"/>
    <w:rsid w:val="00631F4C"/>
    <w:rsid w:val="0063201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2E"/>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26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BCA"/>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660"/>
    <w:rsid w:val="006E6855"/>
    <w:rsid w:val="006E6BA3"/>
    <w:rsid w:val="006E6BAF"/>
    <w:rsid w:val="006E74F6"/>
    <w:rsid w:val="006E765E"/>
    <w:rsid w:val="006E77E0"/>
    <w:rsid w:val="006F0076"/>
    <w:rsid w:val="006F009A"/>
    <w:rsid w:val="006F00A6"/>
    <w:rsid w:val="006F017D"/>
    <w:rsid w:val="006F02A0"/>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AAA"/>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14A"/>
    <w:rsid w:val="007363C3"/>
    <w:rsid w:val="007365E3"/>
    <w:rsid w:val="00736A68"/>
    <w:rsid w:val="00736C9F"/>
    <w:rsid w:val="00737307"/>
    <w:rsid w:val="00737667"/>
    <w:rsid w:val="00737B25"/>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4C1"/>
    <w:rsid w:val="00747601"/>
    <w:rsid w:val="0074785F"/>
    <w:rsid w:val="00747BCC"/>
    <w:rsid w:val="00747DC7"/>
    <w:rsid w:val="00751180"/>
    <w:rsid w:val="00751201"/>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100"/>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70E"/>
    <w:rsid w:val="00792BF7"/>
    <w:rsid w:val="007931B4"/>
    <w:rsid w:val="00793793"/>
    <w:rsid w:val="00793B5B"/>
    <w:rsid w:val="00793F1D"/>
    <w:rsid w:val="007940F6"/>
    <w:rsid w:val="00794895"/>
    <w:rsid w:val="00794938"/>
    <w:rsid w:val="00795783"/>
    <w:rsid w:val="00795BA6"/>
    <w:rsid w:val="00795F06"/>
    <w:rsid w:val="00796B09"/>
    <w:rsid w:val="00796FB4"/>
    <w:rsid w:val="00797B5D"/>
    <w:rsid w:val="00797F10"/>
    <w:rsid w:val="00797FC7"/>
    <w:rsid w:val="007A037B"/>
    <w:rsid w:val="007A049F"/>
    <w:rsid w:val="007A095B"/>
    <w:rsid w:val="007A0A67"/>
    <w:rsid w:val="007A0DC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20C"/>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2086"/>
    <w:rsid w:val="007C2235"/>
    <w:rsid w:val="007C2739"/>
    <w:rsid w:val="007C27F7"/>
    <w:rsid w:val="007C2D4C"/>
    <w:rsid w:val="007C3162"/>
    <w:rsid w:val="007C3550"/>
    <w:rsid w:val="007C37F1"/>
    <w:rsid w:val="007C389E"/>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69E"/>
    <w:rsid w:val="008839D3"/>
    <w:rsid w:val="00883F87"/>
    <w:rsid w:val="0088427B"/>
    <w:rsid w:val="00884796"/>
    <w:rsid w:val="00884A01"/>
    <w:rsid w:val="00884B2B"/>
    <w:rsid w:val="0088525C"/>
    <w:rsid w:val="0088530F"/>
    <w:rsid w:val="00885683"/>
    <w:rsid w:val="0088585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475A"/>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DB6"/>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2D4B"/>
    <w:rsid w:val="00903348"/>
    <w:rsid w:val="009034CB"/>
    <w:rsid w:val="00903702"/>
    <w:rsid w:val="00903962"/>
    <w:rsid w:val="009047BC"/>
    <w:rsid w:val="009049EB"/>
    <w:rsid w:val="00904A56"/>
    <w:rsid w:val="00904A88"/>
    <w:rsid w:val="00904C9C"/>
    <w:rsid w:val="00904E5D"/>
    <w:rsid w:val="00905112"/>
    <w:rsid w:val="00905801"/>
    <w:rsid w:val="00905CB8"/>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36A"/>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118"/>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41"/>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66"/>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8A2"/>
    <w:rsid w:val="009C5B32"/>
    <w:rsid w:val="009C5B86"/>
    <w:rsid w:val="009C5D3D"/>
    <w:rsid w:val="009C5E04"/>
    <w:rsid w:val="009C6173"/>
    <w:rsid w:val="009C6315"/>
    <w:rsid w:val="009C6A7C"/>
    <w:rsid w:val="009C6B52"/>
    <w:rsid w:val="009C6C47"/>
    <w:rsid w:val="009C7119"/>
    <w:rsid w:val="009C760A"/>
    <w:rsid w:val="009C7B82"/>
    <w:rsid w:val="009C7BCF"/>
    <w:rsid w:val="009C7DE2"/>
    <w:rsid w:val="009D0004"/>
    <w:rsid w:val="009D04C3"/>
    <w:rsid w:val="009D087D"/>
    <w:rsid w:val="009D0A68"/>
    <w:rsid w:val="009D0D3B"/>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AE7"/>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6EC0"/>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3DBE"/>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CB"/>
    <w:rsid w:val="00B47AFE"/>
    <w:rsid w:val="00B47E98"/>
    <w:rsid w:val="00B50A10"/>
    <w:rsid w:val="00B50C63"/>
    <w:rsid w:val="00B50DE6"/>
    <w:rsid w:val="00B50FA0"/>
    <w:rsid w:val="00B5130D"/>
    <w:rsid w:val="00B519A1"/>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690"/>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B38"/>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87FD4"/>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1E3"/>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793"/>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0DE8"/>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3A2"/>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01D"/>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070"/>
    <w:rsid w:val="00C84A35"/>
    <w:rsid w:val="00C84BFA"/>
    <w:rsid w:val="00C85F51"/>
    <w:rsid w:val="00C869B0"/>
    <w:rsid w:val="00C86E91"/>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D7A42"/>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392"/>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4D4"/>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A7CE0"/>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4C1A"/>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418"/>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0C"/>
    <w:rsid w:val="00E63A58"/>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0"/>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05C"/>
    <w:rsid w:val="00ED65F0"/>
    <w:rsid w:val="00ED6F49"/>
    <w:rsid w:val="00ED74E5"/>
    <w:rsid w:val="00ED7686"/>
    <w:rsid w:val="00ED7709"/>
    <w:rsid w:val="00ED7A25"/>
    <w:rsid w:val="00ED7C55"/>
    <w:rsid w:val="00ED7CC7"/>
    <w:rsid w:val="00EE014B"/>
    <w:rsid w:val="00EE0284"/>
    <w:rsid w:val="00EE0567"/>
    <w:rsid w:val="00EE0760"/>
    <w:rsid w:val="00EE0D5C"/>
    <w:rsid w:val="00EE0EA7"/>
    <w:rsid w:val="00EE12FF"/>
    <w:rsid w:val="00EE139E"/>
    <w:rsid w:val="00EE15D9"/>
    <w:rsid w:val="00EE1D36"/>
    <w:rsid w:val="00EE1EA6"/>
    <w:rsid w:val="00EE241D"/>
    <w:rsid w:val="00EE2C4F"/>
    <w:rsid w:val="00EE2FE7"/>
    <w:rsid w:val="00EE3795"/>
    <w:rsid w:val="00EE37E5"/>
    <w:rsid w:val="00EE3FFD"/>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2FB"/>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6D06"/>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2C0"/>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4F96"/>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BC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8CC89234-0D5B-4BF1-8025-C679CB50E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7C2F"/>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F7C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7C2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08507108">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395</Words>
  <Characters>2408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Waseem Ozan</cp:lastModifiedBy>
  <cp:revision>2</cp:revision>
  <dcterms:created xsi:type="dcterms:W3CDTF">2023-08-11T18:46:00Z</dcterms:created>
  <dcterms:modified xsi:type="dcterms:W3CDTF">2023-08-11T18:46:00Z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